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Australian Safeguard Mechanism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2026-01-19</w:t>
      </w:r>
    </w:p>
    <w:bookmarkStart w:id="46" w:name="Xd94d3ee4579ca6734223bb6c924253782e44bf3"/>
    <w:p>
      <w:pPr>
        <w:pStyle w:val="Heading1"/>
      </w:pPr>
      <w:r>
        <w:t xml:space="preserve">Mainly safeguarding coal, oil and gas emissions</w:t>
      </w:r>
    </w:p>
    <w:bookmarkStart w:id="20" w:name="summary"/>
    <w:p>
      <w:pPr>
        <w:pStyle w:val="Heading2"/>
      </w:pPr>
      <w:r>
        <w:t xml:space="preserve">Summary</w:t>
      </w:r>
    </w:p>
    <w:p>
      <w:pPr>
        <w:pStyle w:val="FirstParagraph"/>
      </w:pPr>
      <w:r>
        <w:t xml:space="preserve">Australia’s Safeguard Mechanism covers ~215 facilities emitting over 100,000 tonnes CO2-e annually, representing 28% of national emissions. Reformed in 2023, the scheme requires baselines to decline 4.9% per year through 2030. However, early data shows facilities are not decarbonising fast enough: covered emissions fell only 4.3% over two years while exceedance volumes surged 52%. ACCU surrenders have increased six-fold, indicating heavy reliance on offsets rather than on-site abatement. The 2026-27 statutory review will be critical, particularly given the gap between the indicative post-2030 decline rate (3.285%) and rates required to meet the 2035 NDC target (4.82-6.85%).</w:t>
      </w:r>
    </w:p>
    <w:p>
      <w:pPr>
        <w:pStyle w:val="BodyText"/>
      </w:pPr>
      <w:r>
        <w:rPr>
          <w:b/>
          <w:bCs/>
        </w:rPr>
        <w:t xml:space="preserve">Conclusion:</w:t>
      </w:r>
      <w:r>
        <w:t xml:space="preserve"> </w:t>
      </w:r>
      <w:r>
        <w:t xml:space="preserve">The scheme’s fundamental tension is that it</w:t>
      </w:r>
      <w:r>
        <w:t xml:space="preserve"> </w:t>
      </w:r>
      <w:r>
        <w:t xml:space="preserve">“safeguards”</w:t>
      </w:r>
      <w:r>
        <w:t xml:space="preserve"> </w:t>
      </w:r>
      <w:r>
        <w:t xml:space="preserve">industries via being insufficiently tough—coal, oil and gas—that are themselves the primary contributors to global warming via scope 3 combustion. New LNG projects (Pluto, Barossa, Browse) risk consuming a substantial share of remaining emissions budget. I expect global economics will ultimately constrain new fossil fuel developments, making generous baseline provisions for new entrants unnecessary. ACCU use should be strictly limited; genuine ACCU abatement projects deserve support through separate mechanisms perhaps with price reflecting quality. The trade-exposed sector will eventually have to adjust as Australia transitions from being a top-3 thermal energy exporter so Safeguards shouldn’t make it easy for them. Policy will follow the money, and the money is increasingly moving toward electrification. Not in a straight line, but over time.</w:t>
      </w:r>
    </w:p>
    <w:bookmarkEnd w:id="20"/>
    <w:bookmarkStart w:id="29" w:name="overview"/>
    <w:p>
      <w:pPr>
        <w:pStyle w:val="Heading2"/>
      </w:pPr>
      <w:r>
        <w:t xml:space="preserve">Overview</w:t>
      </w:r>
    </w:p>
    <w:p>
      <w:pPr>
        <w:pStyle w:val="FirstParagraph"/>
      </w:pPr>
      <w:r>
        <w:t xml:space="preserve">The Safeguard Mechanism is Australia’s principal policy for reducing greenhouse gas emissions from the nation’s largest industrial facilities. Reformed in July 2023, it operates as a baseline-and-credit scheme requiring covered facilities to progressively reduce their emissions in line with national targets.</w:t>
      </w:r>
    </w:p>
    <w:p>
      <w:pPr>
        <w:pStyle w:val="BodyText"/>
      </w:pPr>
      <w:r>
        <w:rPr>
          <w:b/>
          <w:bCs/>
        </w:rPr>
        <w:t xml:space="preserve">Legislative basis:</w:t>
      </w:r>
      <w:r>
        <w:t xml:space="preserve"> </w:t>
      </w:r>
      <w:r>
        <w:t xml:space="preserve">National Greenhouse and Energy Reporting Act 2007 (Cth), administered under the Safeguard Mechanism Rules</w:t>
      </w:r>
    </w:p>
    <w:p>
      <w:pPr>
        <w:pStyle w:val="BodyText"/>
      </w:pPr>
      <w:r>
        <w:rPr>
          <w:b/>
          <w:bCs/>
        </w:rPr>
        <w:t xml:space="preserve">Administering bodies:</w:t>
      </w:r>
    </w:p>
    <w:p>
      <w:pPr>
        <w:pStyle w:val="Compact"/>
        <w:numPr>
          <w:ilvl w:val="0"/>
          <w:numId w:val="1001"/>
        </w:numPr>
      </w:pPr>
      <w:r>
        <w:t xml:space="preserve">Department of Climate Change, Energy, the Environment and Water (DCCEEW) - policy</w:t>
      </w:r>
    </w:p>
    <w:p>
      <w:pPr>
        <w:pStyle w:val="Compact"/>
        <w:numPr>
          <w:ilvl w:val="0"/>
          <w:numId w:val="1001"/>
        </w:numPr>
      </w:pPr>
      <w:r>
        <w:t xml:space="preserve">Clean Energy Regulator (CER) - compliance and administration</w:t>
      </w:r>
    </w:p>
    <w:p>
      <w:pPr>
        <w:pStyle w:val="FirstParagraph"/>
      </w:pPr>
      <w:r>
        <w:t xml:space="preserve">Facilities emitting more than</w:t>
      </w:r>
      <w:r>
        <w:t xml:space="preserve"> </w:t>
      </w:r>
      <w:r>
        <w:rPr>
          <w:b/>
          <w:bCs/>
        </w:rPr>
        <w:t xml:space="preserve">100,000 tonnes CO2-e per year</w:t>
      </w:r>
      <w:r>
        <w:t xml:space="preserve"> </w:t>
      </w:r>
      <w:r>
        <w:t xml:space="preserve">(scope 1 emissions) are covered.</w:t>
      </w:r>
    </w:p>
    <w:p>
      <w:pPr>
        <w:pStyle w:val="BodyText"/>
      </w:pPr>
      <w:r>
        <w:t xml:space="preserve">The following visualisation shows the top emitters and the industries. I’ve included electricity in the industry overview although it’s excluded from the Safeguards scheme.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corporate-emissions"/>
          <w:p>
            <w:pPr>
              <w:pStyle w:val="Compact"/>
              <w:jc w:val="center"/>
            </w:pPr>
            <w:r>
              <w:drawing>
                <wp:inline>
                  <wp:extent cx="5334000" cy="3251758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119183245174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25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Corporate emissions</w:t>
            </w:r>
          </w:p>
          <w:bookmarkEnd w:id="24"/>
        </w:tc>
      </w:tr>
    </w:tbl>
    <w:p>
      <w:pPr>
        <w:pStyle w:val="BodyText"/>
      </w:pPr>
      <w:r>
        <w:t xml:space="preserve">The main growth in industry emissions has been in gas, no doubt from the QLD LNG facilities but other expansions as well. Coal growth has slowed in recent years, I have previously noted that in thermal coal Australia has become uncompetitive with Indonesia.</w:t>
      </w:r>
    </w:p>
    <w:p>
      <w:pPr>
        <w:pStyle w:val="BodyText"/>
      </w:pPr>
      <w:r>
        <w:t xml:space="preserve">Those industries are also the largest contributors outside electricity to corporate emissions, which when you think about it is kind of a cosmic joke. We have a scheme designed to</w:t>
      </w:r>
      <w:r>
        <w:t xml:space="preserve"> </w:t>
      </w:r>
      <w:r>
        <w:t xml:space="preserve">“safeguard”</w:t>
      </w:r>
      <w:r>
        <w:t xml:space="preserve"> </w:t>
      </w:r>
      <w:r>
        <w:t xml:space="preserve">industries which are in fact the main contributors to global warming via their scope 3 combustion.</w:t>
      </w:r>
    </w:p>
    <w:p>
      <w:pPr>
        <w:pStyle w:val="BodyText"/>
      </w:pPr>
      <w:r>
        <w:t xml:space="preserve">Think about shipping. About 40% of global shipping by weight represents the transport of oil, coal and gas. Think about primary energy: an electrified world would consume about 40% less energy than today. That is the world we are moving to.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fig-emissions-trends"/>
          <w:p>
            <w:pPr>
              <w:pStyle w:val="Compact"/>
              <w:jc w:val="center"/>
            </w:pPr>
            <w:r>
              <w:drawing>
                <wp:inline>
                  <wp:extent cx="5334000" cy="30517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119183822680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5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Corporate emissions trends</w:t>
            </w:r>
          </w:p>
          <w:bookmarkEnd w:id="28"/>
        </w:tc>
      </w:tr>
    </w:tbl>
    <w:bookmarkEnd w:id="29"/>
    <w:bookmarkStart w:id="34" w:name="how-the-scheme-is-supposed-to-work"/>
    <w:p>
      <w:pPr>
        <w:pStyle w:val="Heading2"/>
      </w:pPr>
      <w:r>
        <w:t xml:space="preserve">How the scheme is supposed to work</w:t>
      </w:r>
    </w:p>
    <w:bookmarkStart w:id="30" w:name="baselines"/>
    <w:p>
      <w:pPr>
        <w:pStyle w:val="Heading3"/>
      </w:pPr>
      <w:r>
        <w:t xml:space="preserve">Baselines</w:t>
      </w:r>
    </w:p>
    <w:p>
      <w:pPr>
        <w:pStyle w:val="FirstParagraph"/>
      </w:pPr>
      <w:r>
        <w:t xml:space="preserve">Each facility receives an</w:t>
      </w:r>
      <w:r>
        <w:t xml:space="preserve"> </w:t>
      </w:r>
      <w:r>
        <w:rPr>
          <w:b/>
          <w:bCs/>
        </w:rPr>
        <w:t xml:space="preserve">emissions intensity baseline</w:t>
      </w:r>
      <w:r>
        <w:t xml:space="preserve"> </w:t>
      </w:r>
      <w:r>
        <w:t xml:space="preserve">- a limit on emissions relative to production output. Baselines decline annually to drive emissions reductions.</w:t>
      </w:r>
    </w:p>
    <w:p>
      <w:pPr>
        <w:pStyle w:val="BodyText"/>
      </w:pPr>
      <w:r>
        <w:rPr>
          <w:b/>
          <w:bCs/>
        </w:rPr>
        <w:t xml:space="preserve">Decline rate:</w:t>
      </w:r>
      <w:r>
        <w:t xml:space="preserve"> </w:t>
      </w:r>
      <w:r>
        <w:t xml:space="preserve">4.9% per year (to 2030)</w:t>
      </w:r>
    </w:p>
    <w:p>
      <w:pPr>
        <w:pStyle w:val="BodyText"/>
      </w:pPr>
      <w:r>
        <w:t xml:space="preserve">This rate is designed to deliver a proportional share of Australia’s 2030 target (43% below 2005 levels).</w:t>
      </w:r>
    </w:p>
    <w:bookmarkEnd w:id="30"/>
    <w:bookmarkStart w:id="31" w:name="compliance-options"/>
    <w:p>
      <w:pPr>
        <w:pStyle w:val="Heading3"/>
      </w:pPr>
      <w:r>
        <w:t xml:space="preserve">Compliance Options</w:t>
      </w:r>
    </w:p>
    <w:p>
      <w:pPr>
        <w:pStyle w:val="FirstParagraph"/>
      </w:pPr>
      <w:r>
        <w:t xml:space="preserve">Facilities exceeding their baseline must manage excess emissions through: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Surrender Australian Carbon Credit Units (ACCUs)</w:t>
      </w:r>
      <w:r>
        <w:t xml:space="preserve"> </w:t>
      </w:r>
      <w:r>
        <w:t xml:space="preserve">- Offsets representing emissions reduced/removed elsewhere (e.g., reforestation, landfill gas capture)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Surrender Safeguard Mechanism Credits (SMCs)</w:t>
      </w:r>
      <w:r>
        <w:t xml:space="preserve"> </w:t>
      </w:r>
      <w:r>
        <w:t xml:space="preserve">- Credits issued to facilities that beat their baseline, tradeable within the scheme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Flexibility measures:</w:t>
      </w:r>
    </w:p>
    <w:p>
      <w:pPr>
        <w:pStyle w:val="Compact"/>
        <w:numPr>
          <w:ilvl w:val="1"/>
          <w:numId w:val="1003"/>
        </w:numPr>
      </w:pPr>
      <w:r>
        <w:t xml:space="preserve">Multi-year monitoring periods (averaging emissions over 2-3 years)</w:t>
      </w:r>
    </w:p>
    <w:p>
      <w:pPr>
        <w:pStyle w:val="Compact"/>
        <w:numPr>
          <w:ilvl w:val="1"/>
          <w:numId w:val="1003"/>
        </w:numPr>
      </w:pPr>
      <w:r>
        <w:t xml:space="preserve">Borrowing from future baselines</w:t>
      </w:r>
    </w:p>
    <w:p>
      <w:pPr>
        <w:pStyle w:val="Compact"/>
        <w:numPr>
          <w:ilvl w:val="1"/>
          <w:numId w:val="1003"/>
        </w:numPr>
      </w:pPr>
      <w:r>
        <w:t xml:space="preserve">Trade-exposed baseline-adjusted (TEBA) facility provisions (reduced decline rate for internationally competitive industries)</w:t>
      </w:r>
    </w:p>
    <w:bookmarkEnd w:id="31"/>
    <w:bookmarkStart w:id="32" w:name="cost-containment"/>
    <w:p>
      <w:pPr>
        <w:pStyle w:val="Heading3"/>
      </w:pPr>
      <w:r>
        <w:t xml:space="preserve">Cost Containment</w:t>
      </w:r>
    </w:p>
    <w:p>
      <w:pPr>
        <w:pStyle w:val="FirstParagraph"/>
      </w:pPr>
      <w:r>
        <w:rPr>
          <w:b/>
          <w:bCs/>
        </w:rPr>
        <w:t xml:space="preserve">Cost Containment Settings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4455"/>
        <w:gridCol w:w="346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Setting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Government ACCU price cap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$75/tonne (FY2024), indexed to CPI + 2% annually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Default prescribed unit price (FY2024-25)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$36.05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</w:t>
      </w:r>
    </w:p>
    <w:bookmarkEnd w:id="32"/>
    <w:bookmarkStart w:id="33" w:name="accu-disclosure-rule"/>
    <w:p>
      <w:pPr>
        <w:pStyle w:val="Heading3"/>
      </w:pPr>
      <w:r>
        <w:t xml:space="preserve">30% ACCU Disclosure Rule</w:t>
      </w:r>
    </w:p>
    <w:p>
      <w:pPr>
        <w:pStyle w:val="FirstParagraph"/>
      </w:pPr>
      <w:r>
        <w:t xml:space="preserve">Facilities surrendering ACCUs equal to or exceeding 30% of their baseline must publicly explain why on-site abatement wasn’t undertaken.</w:t>
      </w:r>
    </w:p>
    <w:bookmarkEnd w:id="33"/>
    <w:bookmarkEnd w:id="34"/>
    <w:bookmarkStart w:id="35" w:name="targets"/>
    <w:p>
      <w:pPr>
        <w:pStyle w:val="Heading2"/>
      </w:pPr>
      <w:r>
        <w:t xml:space="preserve">Targets</w:t>
      </w:r>
    </w:p>
    <w:p>
      <w:pPr>
        <w:pStyle w:val="FirstParagraph"/>
      </w:pPr>
      <w:r>
        <w:rPr>
          <w:b/>
          <w:bCs/>
        </w:rPr>
        <w:t xml:space="preserve">Emissions Targets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Milestone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Target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FY2029-30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Net emissions ≤100 Mt CO2-e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FY2049-50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Net zero emissions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Cumulative budget (FY2020-30)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≤1,233 Mt CO2-e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DCCEEW</w:t>
      </w:r>
    </w:p>
    <w:bookmarkEnd w:id="35"/>
    <w:bookmarkStart w:id="37" w:name="emissions-performance-data"/>
    <w:p>
      <w:pPr>
        <w:pStyle w:val="Heading2"/>
      </w:pPr>
      <w:r>
        <w:t xml:space="preserve">Emissions Performance Data</w:t>
      </w:r>
    </w:p>
    <w:p>
      <w:pPr>
        <w:pStyle w:val="FirstParagraph"/>
      </w:pPr>
      <w:r>
        <w:rPr>
          <w:b/>
          <w:bCs/>
        </w:rPr>
        <w:t xml:space="preserve">Performance Summary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Metric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FY2022-23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FY2023-24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FY2024-25</w:t>
            </w:r>
            <w:r>
              <w:rPr>
                <w:vertAlign w:val="superscript"/>
              </w:rP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Covered facilities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218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219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~215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Covered emissions (Mt)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Facilities in exceedance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Exceedance volume (Mt)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9.2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SMCs issued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8.3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ACCUs surrendered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7.1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~14</w:t>
            </w:r>
            <w:r>
              <w:rPr>
                <w:vertAlign w:val="superscript"/>
              </w:rPr>
              <w:t xml:space="preserve">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SMCs surrendered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TBD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Regulator.</w:t>
      </w:r>
      <w:r>
        <w:rPr>
          <w:i/>
          <w:iCs/>
        </w:rPr>
        <w:t xml:space="preserve"> </w:t>
      </w:r>
      <w:r>
        <w:rPr>
          <w:i/>
          <w:iCs/>
          <w:vertAlign w:val="superscript"/>
        </w:rPr>
        <w:t xml:space="preserve">p</w:t>
      </w:r>
      <w:r>
        <w:rPr>
          <w:i/>
          <w:iCs/>
        </w:rPr>
        <w:t xml:space="preserve">Preliminary.</w:t>
      </w:r>
      <w:r>
        <w:rPr>
          <w:i/>
          <w:iCs/>
        </w:rPr>
        <w:t xml:space="preserve"> </w:t>
      </w:r>
      <w:r>
        <w:rPr>
          <w:i/>
          <w:iCs/>
          <w:vertAlign w:val="superscript"/>
        </w:rPr>
        <w:t xml:space="preserve">e</w:t>
      </w:r>
      <w:r>
        <w:rPr>
          <w:i/>
          <w:iCs/>
        </w:rPr>
        <w:t xml:space="preserve">Estimate based on exceedance volume.</w:t>
      </w:r>
    </w:p>
    <w:p>
      <w:pPr>
        <w:pStyle w:val="BodyText"/>
      </w:pPr>
      <w:r>
        <w:rPr>
          <w:b/>
          <w:bCs/>
        </w:rPr>
        <w:t xml:space="preserve">Key observations: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Emissions declining but slower than baselines:</w:t>
      </w:r>
      <w:r>
        <w:t xml:space="preserve"> </w:t>
      </w:r>
      <w:r>
        <w:t xml:space="preserve">Covered emissions fell 4.3% over two years (139→133 Mt), but baselines declined 7.3% in FY2024-25 alone — facilities are not decarbonising fast enough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Exceedances surging:</w:t>
      </w:r>
      <w:r>
        <w:t xml:space="preserve"> </w:t>
      </w:r>
      <w:r>
        <w:t xml:space="preserve">Facilities in exceedance rose from 142 to 143, but exceedance volume jumped from 9.2 Mt to 14 Mt — a 52% increase in compliance liability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ACCU reliance growing:</w:t>
      </w:r>
      <w:r>
        <w:t xml:space="preserve"> </w:t>
      </w:r>
      <w:r>
        <w:t xml:space="preserve">Surrenders increased six-fold from 1.2 million (pre-reform) to 7.1 million in the first reformed year, indicating heavy offset reliance rather than on-site abatement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SMC supply tightening:</w:t>
      </w:r>
      <w:r>
        <w:t xml:space="preserve"> </w:t>
      </w:r>
      <w:r>
        <w:t xml:space="preserve">Fewer facilities earning SMCs (62→59) means reduced credit supply as demand increases</w:t>
      </w:r>
    </w:p>
    <w:bookmarkStart w:id="36" w:name="projected-trajectory"/>
    <w:p>
      <w:pPr>
        <w:pStyle w:val="Heading3"/>
      </w:pPr>
      <w:r>
        <w:t xml:space="preserve">Projected Trajectory</w:t>
      </w:r>
    </w:p>
    <w:p>
      <w:pPr>
        <w:pStyle w:val="FirstParagraph"/>
      </w:pPr>
      <w:r>
        <w:t xml:space="preserve">Government projections (DCCEEW):</w:t>
      </w:r>
    </w:p>
    <w:p>
      <w:pPr>
        <w:pStyle w:val="Compact"/>
        <w:numPr>
          <w:ilvl w:val="0"/>
          <w:numId w:val="1005"/>
        </w:numPr>
      </w:pPr>
      <w:r>
        <w:t xml:space="preserve">FY2029-30: 121 Mt</w:t>
      </w:r>
    </w:p>
    <w:p>
      <w:pPr>
        <w:pStyle w:val="Compact"/>
        <w:numPr>
          <w:ilvl w:val="0"/>
          <w:numId w:val="1005"/>
        </w:numPr>
      </w:pPr>
      <w:r>
        <w:t xml:space="preserve">FY2034-35: 97 Mt</w:t>
      </w:r>
    </w:p>
    <w:p>
      <w:pPr>
        <w:pStyle w:val="FirstParagraph"/>
      </w:pPr>
      <w:r>
        <w:t xml:space="preserve">Independent analysis (Climate Analytics) suggests LNG and coal emissions could exceed these projections, potentially reaching 83-112 Mt from fossil fuel projects alone by 2030 (Climate Analytics).</w:t>
      </w:r>
    </w:p>
    <w:bookmarkEnd w:id="36"/>
    <w:bookmarkEnd w:id="37"/>
    <w:bookmarkStart w:id="45" w:name="X434545f29287413a8fe642963377d1e62b3e564"/>
    <w:p>
      <w:pPr>
        <w:pStyle w:val="Heading2"/>
      </w:pPr>
      <w:r>
        <w:t xml:space="preserve">Key Questions for 2026-27 Statutory Review</w:t>
      </w:r>
    </w:p>
    <w:p>
      <w:pPr>
        <w:pStyle w:val="FirstParagraph"/>
      </w:pPr>
      <w:r>
        <w:rPr>
          <w:b/>
          <w:bCs/>
        </w:rPr>
        <w:t xml:space="preserve">Review status:</w:t>
      </w:r>
      <w:r>
        <w:t xml:space="preserve"> </w:t>
      </w:r>
      <w:r>
        <w:t xml:space="preserve">The formal consultation has not yet opened. The review is scheduled for FY2026-27 (commencing July 2026), once two full years of post-reform compliance data are available.</w:t>
      </w:r>
    </w:p>
    <w:bookmarkStart w:id="38" w:name="X038976887d0ed50d3a7be179c5e833a432d32d3"/>
    <w:p>
      <w:pPr>
        <w:pStyle w:val="Heading3"/>
      </w:pPr>
      <w:r>
        <w:t xml:space="preserve">Is the 4.9% decline rate appropriate for post-2030?</w:t>
      </w:r>
    </w:p>
    <w:p>
      <w:pPr>
        <w:pStyle w:val="FirstParagraph"/>
      </w:pPr>
      <w:r>
        <w:rPr>
          <w:b/>
          <w:bCs/>
        </w:rPr>
        <w:t xml:space="preserve">Current settings:</w:t>
      </w:r>
      <w:r>
        <w:t xml:space="preserve"> </w:t>
      </w:r>
      <w:r>
        <w:t xml:space="preserve">The 4.9% annual decline rate applies only through 2030. For 2030-31 to 2049-50, an indicative rate of</w:t>
      </w:r>
      <w:r>
        <w:t xml:space="preserve"> </w:t>
      </w:r>
      <w:r>
        <w:rPr>
          <w:b/>
          <w:bCs/>
        </w:rPr>
        <w:t xml:space="preserve">3.285%</w:t>
      </w:r>
      <w:r>
        <w:t xml:space="preserve"> </w:t>
      </w:r>
      <w:r>
        <w:t xml:space="preserve">is set in the Safeguard Rules. However, actual post-2030 rates will be determined through the 5-year baseline setting process.</w:t>
      </w:r>
    </w:p>
    <w:p>
      <w:pPr>
        <w:pStyle w:val="BodyText"/>
      </w:pPr>
      <w:r>
        <w:rPr>
          <w:b/>
          <w:bCs/>
        </w:rPr>
        <w:t xml:space="preserve">2035 NDC implications:</w:t>
      </w:r>
      <w:r>
        <w:t xml:space="preserve"> </w:t>
      </w:r>
      <w:r>
        <w:t xml:space="preserve">The Climate Change Authority’s analysis indicates that meeting the 2035 NDC target range (62-70% below 2005 levels) requires higher decline rates:</w:t>
      </w:r>
    </w:p>
    <w:p>
      <w:pPr>
        <w:pStyle w:val="BodyText"/>
      </w:pPr>
      <w:r>
        <w:rPr>
          <w:b/>
          <w:bCs/>
        </w:rPr>
        <w:t xml:space="preserve">Implied Baseline Decline Rates for 2035 NDC Targets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2035 Target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Implied Annual Decline Rate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62% (minimum)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4.82%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65% (middle)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5.50%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70% (ambitious)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6.85%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CORE Markets analysis</w:t>
      </w:r>
    </w:p>
    <w:p>
      <w:pPr>
        <w:pStyle w:val="BodyText"/>
      </w:pPr>
      <w:r>
        <w:rPr>
          <w:b/>
          <w:bCs/>
        </w:rPr>
        <w:t xml:space="preserve">Key finding:</w:t>
      </w:r>
      <w:r>
        <w:t xml:space="preserve"> </w:t>
      </w:r>
      <w:r>
        <w:t xml:space="preserve">The indicative 3.285% post-2030 rate is inconsistent with even the minimum 2035 target. The 2026-27 review will need to set rates for 2030-35 by July 2027, incorporating advice from the Climate Change Authority and the government’s final position on 2035 ambition level.</w:t>
      </w:r>
    </w:p>
    <w:bookmarkEnd w:id="38"/>
    <w:bookmarkStart w:id="39" w:name="X52ba6cdf2308546170e2174011ebb6652fe1a4f"/>
    <w:p>
      <w:pPr>
        <w:pStyle w:val="Heading3"/>
      </w:pPr>
      <w:r>
        <w:t xml:space="preserve">Should the threshold be lowered from 100,000 tonnes?</w:t>
      </w:r>
    </w:p>
    <w:p>
      <w:pPr>
        <w:pStyle w:val="FirstParagraph"/>
      </w:pPr>
      <w:r>
        <w:rPr>
          <w:b/>
          <w:bCs/>
        </w:rPr>
        <w:t xml:space="preserve">Current coverage:</w:t>
      </w:r>
      <w:r>
        <w:t xml:space="preserve"> </w:t>
      </w:r>
      <w:r>
        <w:t xml:space="preserve">The 100,000 tonne CO2-e threshold captures approximately 215-220 facilities representing about 28% of Australia’s total emissions (ICAP).</w:t>
      </w:r>
    </w:p>
    <w:p>
      <w:pPr>
        <w:pStyle w:val="BodyText"/>
      </w:pPr>
      <w:r>
        <w:rPr>
          <w:b/>
          <w:bCs/>
        </w:rPr>
        <w:t xml:space="preserve">Modelling findings:</w:t>
      </w:r>
      <w:r>
        <w:t xml:space="preserve"> </w:t>
      </w:r>
      <w:r>
        <w:t xml:space="preserve">Carbon Market Institute research (modelling by CORE Markets) found that lowering the facility threshold could bring an additional</w:t>
      </w:r>
      <w:r>
        <w:t xml:space="preserve"> </w:t>
      </w:r>
      <w:r>
        <w:rPr>
          <w:b/>
          <w:bCs/>
        </w:rPr>
        <w:t xml:space="preserve">8% of emissions</w:t>
      </w:r>
      <w:r>
        <w:t xml:space="preserve"> </w:t>
      </w:r>
      <w:r>
        <w:t xml:space="preserve">under the scheme (Carbon Market Institute/CORE Markets). This would extend coverage to medium-sized emitters in manufacturing, commercial buildings, and other sectors.</w:t>
      </w:r>
    </w:p>
    <w:p>
      <w:pPr>
        <w:pStyle w:val="BodyText"/>
      </w:pPr>
      <w:r>
        <w:rPr>
          <w:b/>
          <w:bCs/>
        </w:rPr>
        <w:t xml:space="preserve">Considerations:</w:t>
      </w:r>
    </w:p>
    <w:p>
      <w:pPr>
        <w:pStyle w:val="Compact"/>
        <w:numPr>
          <w:ilvl w:val="0"/>
          <w:numId w:val="1006"/>
        </w:numPr>
      </w:pPr>
      <w:r>
        <w:t xml:space="preserve">Administrative complexity: More covered facilities means greater compliance burden for regulators and businesses</w:t>
      </w:r>
    </w:p>
    <w:p>
      <w:pPr>
        <w:pStyle w:val="Compact"/>
        <w:numPr>
          <w:ilvl w:val="0"/>
          <w:numId w:val="1006"/>
        </w:numPr>
      </w:pPr>
      <w:r>
        <w:t xml:space="preserve">Proportionality: Smaller emitters have less capacity to invest in abatement technologies</w:t>
      </w:r>
    </w:p>
    <w:p>
      <w:pPr>
        <w:pStyle w:val="Compact"/>
        <w:numPr>
          <w:ilvl w:val="0"/>
          <w:numId w:val="1006"/>
        </w:numPr>
      </w:pPr>
      <w:r>
        <w:t xml:space="preserve">Comparable schemes: The EU ETS and other carbon pricing mechanisms typically have lower thresholds or economy-wide coverage</w:t>
      </w:r>
    </w:p>
    <w:p>
      <w:pPr>
        <w:pStyle w:val="FirstParagraph"/>
      </w:pPr>
      <w:r>
        <w:rPr>
          <w:b/>
          <w:bCs/>
        </w:rPr>
        <w:t xml:space="preserve">Status:</w:t>
      </w:r>
      <w:r>
        <w:t xml:space="preserve"> </w:t>
      </w:r>
      <w:r>
        <w:t xml:space="preserve">No government proposal to lower the threshold has been announced. The 2026-27 review may examine threshold adjustment as one option for broadening scheme coverage.</w:t>
      </w:r>
    </w:p>
    <w:bookmarkEnd w:id="39"/>
    <w:bookmarkStart w:id="40" w:name="Xf506e3e2c3ce7cb0e4c7db14286a5819131eb17"/>
    <w:p>
      <w:pPr>
        <w:pStyle w:val="Heading3"/>
      </w:pPr>
      <w:r>
        <w:t xml:space="preserve">Are offset arrangements (ACCUs/SMCs) appropriate? (in a word: NO)</w:t>
      </w:r>
    </w:p>
    <w:p>
      <w:pPr>
        <w:pStyle w:val="FirstParagraph"/>
      </w:pPr>
      <w:r>
        <w:rPr>
          <w:b/>
          <w:bCs/>
        </w:rPr>
        <w:t xml:space="preserve">Current reliance on offsets:</w:t>
      </w:r>
      <w:r>
        <w:t xml:space="preserve"> </w:t>
      </w:r>
      <w:r>
        <w:t xml:space="preserve">In FY2023-24, facilities surrendered 7.1 million ACCUs - up from 1.2 million in FY2022-23 (CER). This indicates substantial reliance on offsets rather than on-site abatement.</w:t>
      </w:r>
    </w:p>
    <w:p>
      <w:pPr>
        <w:pStyle w:val="BodyText"/>
      </w:pPr>
      <w:r>
        <w:rPr>
          <w:b/>
          <w:bCs/>
        </w:rPr>
        <w:t xml:space="preserve">ACCU integrity concerns:</w:t>
      </w:r>
      <w:r>
        <w:t xml:space="preserve"> </w:t>
      </w:r>
      <w:r>
        <w:t xml:space="preserve">Academic research has raised significant concerns about offset quality. Analysis of the 137 million ACCUs issued since 2011 found that approximately three-quarters came from three project types (avoided deforestation, landfill methane combustion, human-induced regeneration) with questionable integrity - described as</w:t>
      </w:r>
      <w:r>
        <w:t xml:space="preserve"> </w:t>
      </w:r>
      <w:r>
        <w:t xml:space="preserve">“a form of Gresham’s Law, where bad projects drive out the good”</w:t>
      </w:r>
      <w:r>
        <w:t xml:space="preserve"> </w:t>
      </w:r>
      <w:r>
        <w:t xml:space="preserve">(Macintosh et al. 2022).</w:t>
      </w:r>
    </w:p>
    <w:p>
      <w:pPr>
        <w:pStyle w:val="BodyText"/>
      </w:pPr>
      <w:r>
        <w:rPr>
          <w:b/>
          <w:bCs/>
        </w:rPr>
        <w:t xml:space="preserve">Fossil fuel sector offset usage:</w:t>
      </w:r>
      <w:r>
        <w:t xml:space="preserve"> </w:t>
      </w:r>
      <w:r>
        <w:t xml:space="preserve">Data from FY2023-24 shows that fossil fuel companies (representing 54% of covered emissions) earned 74% of all Safeguard Mechanism Credits issued (Australia Institute). This raises questions about whether the scheme is driving real abatement.</w:t>
      </w:r>
    </w:p>
    <w:p>
      <w:pPr>
        <w:pStyle w:val="BodyText"/>
      </w:pPr>
      <w:r>
        <w:rPr>
          <w:b/>
          <w:bCs/>
        </w:rPr>
        <w:t xml:space="preserve">Policy options under consideration: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Discount on ACCU value:</w:t>
      </w:r>
      <w:r>
        <w:t xml:space="preserve"> </w:t>
      </w:r>
      <w:r>
        <w:t xml:space="preserve">Applying a percentage reduction when offsets are used for more than a certain proportion of compliance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Limits on ACCU use:</w:t>
      </w:r>
      <w:r>
        <w:t xml:space="preserve"> </w:t>
      </w:r>
      <w:r>
        <w:t xml:space="preserve">Capping the percentage of compliance that can be met through offsets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Restrictions by project type:</w:t>
      </w:r>
      <w:r>
        <w:t xml:space="preserve"> </w:t>
      </w:r>
      <w:r>
        <w:t xml:space="preserve">Limiting use of ACCUs from project types with integrity concerns</w:t>
      </w:r>
    </w:p>
    <w:p>
      <w:pPr>
        <w:pStyle w:val="FirstParagraph"/>
      </w:pPr>
      <w:r>
        <w:rPr>
          <w:b/>
          <w:bCs/>
        </w:rPr>
        <w:t xml:space="preserve">Parallel reviews:</w:t>
      </w:r>
      <w:r>
        <w:t xml:space="preserve"> </w:t>
      </w:r>
      <w:r>
        <w:t xml:space="preserve">The 2026-27 Safeguard review will coincide with the Climate Change Authority’s review of the ACCU Scheme, which will assess whether Australia’s carbon credit supply can meet demands of a tightening compliance market (CORE Markets).</w:t>
      </w:r>
    </w:p>
    <w:bookmarkEnd w:id="40"/>
    <w:bookmarkStart w:id="41" w:name="Xf7e6eaf479724c23dd80db4ceb5fbeb03e9dc12"/>
    <w:p>
      <w:pPr>
        <w:pStyle w:val="Heading3"/>
      </w:pPr>
      <w:r>
        <w:t xml:space="preserve">How should new entrant fossil fuel projects be treated?</w:t>
      </w:r>
    </w:p>
    <w:p>
      <w:pPr>
        <w:pStyle w:val="FirstParagraph"/>
      </w:pPr>
      <w:r>
        <w:rPr>
          <w:b/>
          <w:bCs/>
        </w:rPr>
        <w:t xml:space="preserve">Current treatment:</w:t>
      </w:r>
      <w:r>
        <w:t xml:space="preserve"> </w:t>
      </w:r>
      <w:r>
        <w:t xml:space="preserve">New facilities entering the scheme receive baselines based on industry benchmarks. New extraction facilities are assumed to enter as</w:t>
      </w:r>
      <w:r>
        <w:t xml:space="preserve"> </w:t>
      </w:r>
      <w:r>
        <w:t xml:space="preserve">“new entrants”</w:t>
      </w:r>
      <w:r>
        <w:t xml:space="preserve"> </w:t>
      </w:r>
      <w:r>
        <w:t xml:space="preserve">with associated baseline entitlements.</w:t>
      </w:r>
    </w:p>
    <w:p>
      <w:pPr>
        <w:pStyle w:val="BodyText"/>
      </w:pPr>
      <w:r>
        <w:rPr>
          <w:b/>
          <w:bCs/>
        </w:rPr>
        <w:t xml:space="preserve">Major new LNG projects:</w:t>
      </w:r>
      <w:r>
        <w:t xml:space="preserve"> </w:t>
      </w:r>
      <w:r>
        <w:t xml:space="preserve">Three large projects - Pluto, Barossa, and Browse - are entering the scheme between 2025 and 2029. By 2030, these three projects alone account for approximately</w:t>
      </w:r>
      <w:r>
        <w:t xml:space="preserve"> </w:t>
      </w:r>
      <w:r>
        <w:rPr>
          <w:b/>
          <w:bCs/>
        </w:rPr>
        <w:t xml:space="preserve">69% of annual emissions from new facilities</w:t>
      </w:r>
      <w:r>
        <w:t xml:space="preserve">, with new domestic gas extraction (Waitsia, Narrabri, Beetaloo) accounting for a further 13% (RepuTex).</w:t>
      </w:r>
    </w:p>
    <w:p>
      <w:pPr>
        <w:pStyle w:val="BodyText"/>
      </w:pPr>
      <w:r>
        <w:rPr>
          <w:b/>
          <w:bCs/>
        </w:rPr>
        <w:t xml:space="preserve">Assistance available:</w:t>
      </w:r>
      <w:r>
        <w:t xml:space="preserve"> </w:t>
      </w:r>
      <w:r>
        <w:t xml:space="preserve">New entrants that are trade-exposed (including LNG) have access to:</w:t>
      </w:r>
    </w:p>
    <w:p>
      <w:pPr>
        <w:pStyle w:val="Compact"/>
        <w:numPr>
          <w:ilvl w:val="0"/>
          <w:numId w:val="1008"/>
        </w:numPr>
      </w:pPr>
      <w:r>
        <w:t xml:space="preserve">TEBA status (reduced decline rates)</w:t>
      </w:r>
    </w:p>
    <w:p>
      <w:pPr>
        <w:pStyle w:val="Compact"/>
        <w:numPr>
          <w:ilvl w:val="0"/>
          <w:numId w:val="1008"/>
        </w:numPr>
      </w:pPr>
      <w:r>
        <w:t xml:space="preserve">$600 million Safeguard Transformation Stream under Powering the Regions Fund</w:t>
      </w:r>
    </w:p>
    <w:p>
      <w:pPr>
        <w:pStyle w:val="FirstParagraph"/>
      </w:pPr>
      <w:r>
        <w:rPr>
          <w:b/>
          <w:bCs/>
        </w:rPr>
        <w:t xml:space="preserve">Hard cap provisions:</w:t>
      </w:r>
      <w:r>
        <w:t xml:space="preserve"> </w:t>
      </w:r>
      <w:r>
        <w:t xml:space="preserve">Under the emissions budget hard cap, the energy minister can decide whether to permit a new fossil fuel project based on Climate Change Authority advice on projected gross emissions - meaning without carbon offsets being used.</w:t>
      </w:r>
    </w:p>
    <w:p>
      <w:pPr>
        <w:pStyle w:val="BodyText"/>
      </w:pPr>
      <w:r>
        <w:rPr>
          <w:b/>
          <w:bCs/>
        </w:rPr>
        <w:t xml:space="preserve">Recent approvals:</w:t>
      </w:r>
      <w:r>
        <w:t xml:space="preserve"> </w:t>
      </w:r>
      <w:r>
        <w:t xml:space="preserve">Despite climate commitments, Australia has continued approving major fossil fuel projects. In May 2025, the government approved a 40-year extension to Woodside’s North West Shelf LNG plant, allowing operation until 2070.</w:t>
      </w:r>
    </w:p>
    <w:p>
      <w:pPr>
        <w:pStyle w:val="BodyText"/>
      </w:pPr>
      <w:r>
        <w:rPr>
          <w:b/>
          <w:bCs/>
        </w:rPr>
        <w:t xml:space="preserve">Key tension:</w:t>
      </w:r>
      <w:r>
        <w:t xml:space="preserve"> </w:t>
      </w:r>
      <w:r>
        <w:t xml:space="preserve">The entry of major new LNG projects risks consuming a substantial portion of the scheme’s remaining emissions budget, potentially forcing deeper cuts on other facilities or reliance on offsets to maintain budget integrity.</w:t>
      </w:r>
    </w:p>
    <w:bookmarkEnd w:id="41"/>
    <w:bookmarkStart w:id="42" w:name="X7a5d9dcb0601af3f91cc48f8e0f898ec309c8db"/>
    <w:p>
      <w:pPr>
        <w:pStyle w:val="Heading3"/>
      </w:pPr>
      <w:r>
        <w:t xml:space="preserve">What is the pathway to net zero by 2049-50?</w:t>
      </w:r>
    </w:p>
    <w:p>
      <w:pPr>
        <w:pStyle w:val="FirstParagraph"/>
      </w:pPr>
      <w:r>
        <w:rPr>
          <w:b/>
          <w:bCs/>
        </w:rPr>
        <w:t xml:space="preserve">Legislated trajectory:</w:t>
      </w:r>
      <w:r>
        <w:t xml:space="preserve"> </w:t>
      </w:r>
      <w:r>
        <w:t xml:space="preserve">As shown in the Targets table above, the scheme targets net emissions ≤100 Mt by FY2029-30 and net zero by FY2049-50.</w:t>
      </w:r>
    </w:p>
    <w:p>
      <w:pPr>
        <w:pStyle w:val="BodyText"/>
      </w:pPr>
      <w:r>
        <w:rPr>
          <w:b/>
          <w:bCs/>
        </w:rPr>
        <w:t xml:space="preserve">Indicative post-2030 decline rate:</w:t>
      </w:r>
      <w:r>
        <w:t xml:space="preserve"> </w:t>
      </w:r>
      <w:r>
        <w:t xml:space="preserve">3.285% per year from 2030-31 to 2049-50 is set in the Safeguard Rules as an indicative rate. Actual rates will be confirmed through the 5-year baseline setting process.</w:t>
      </w:r>
    </w:p>
    <w:p>
      <w:pPr>
        <w:pStyle w:val="BodyText"/>
      </w:pPr>
      <w:r>
        <w:rPr>
          <w:b/>
          <w:bCs/>
        </w:rPr>
        <w:t xml:space="preserve">5-year baseline setting:</w:t>
      </w:r>
      <w:r>
        <w:t xml:space="preserve"> </w:t>
      </w:r>
      <w:r>
        <w:t xml:space="preserve">Decline rates for 2030-31 to 2034-35 must be set by</w:t>
      </w:r>
      <w:r>
        <w:t xml:space="preserve"> </w:t>
      </w:r>
      <w:r>
        <w:rPr>
          <w:b/>
          <w:bCs/>
        </w:rPr>
        <w:t xml:space="preserve">1 July 2027</w:t>
      </w:r>
      <w:r>
        <w:t xml:space="preserve">. This will be informed by Climate Change Authority advice and the latest Annual Climate Change Statements to Parliament.</w:t>
      </w:r>
    </w:p>
    <w:p>
      <w:pPr>
        <w:pStyle w:val="BodyText"/>
      </w:pPr>
      <w:r>
        <w:rPr>
          <w:b/>
          <w:bCs/>
        </w:rPr>
        <w:t xml:space="preserve">Trajectory uncertainty:</w:t>
      </w:r>
      <w:r>
        <w:t xml:space="preserve"> </w:t>
      </w:r>
      <w:r>
        <w:t xml:space="preserve">The gap between the indicative 3.285% rate and rates required for the 2035 NDC (4.82-6.85%) creates uncertainty for facility operators attempting to plan long-term decarbonisation investments.</w:t>
      </w:r>
    </w:p>
    <w:p>
      <w:pPr>
        <w:pStyle w:val="BodyText"/>
      </w:pPr>
      <w:r>
        <w:rPr>
          <w:b/>
          <w:bCs/>
        </w:rPr>
        <w:t xml:space="preserve">Real vs offset reductions:</w:t>
      </w:r>
      <w:r>
        <w:t xml:space="preserve"> </w:t>
      </w:r>
      <w:r>
        <w:t xml:space="preserve">Climate Action Tracker analysis notes that currently</w:t>
      </w:r>
      <w:r>
        <w:t xml:space="preserve"> </w:t>
      </w:r>
      <w:r>
        <w:t xml:space="preserve">“less than a third of the</w:t>
      </w:r>
      <w:r>
        <w:t xml:space="preserve"> </w:t>
      </w:r>
      <w:r>
        <w:t xml:space="preserve">‘reductions’</w:t>
      </w:r>
      <w:r>
        <w:t xml:space="preserve"> </w:t>
      </w:r>
      <w:r>
        <w:t xml:space="preserve">achieved were from real emission reductions and two thirds due to the use of offsets”</w:t>
      </w:r>
      <w:r>
        <w:t xml:space="preserve"> </w:t>
      </w:r>
      <w:r>
        <w:t xml:space="preserve">(Climate Action Tracker). The pathway to genuine net zero requires this ratio to shift substantially toward on-site abatement.</w:t>
      </w:r>
    </w:p>
    <w:bookmarkEnd w:id="42"/>
    <w:bookmarkStart w:id="43" w:name="X5b2b619ae9f4def7086fd360843d3b23617af39"/>
    <w:p>
      <w:pPr>
        <w:pStyle w:val="Heading3"/>
      </w:pPr>
      <w:r>
        <w:t xml:space="preserve">How does the scheme interact with the 2035 NDC (62-70%)?</w:t>
      </w:r>
    </w:p>
    <w:p>
      <w:pPr>
        <w:pStyle w:val="FirstParagraph"/>
      </w:pPr>
      <w:r>
        <w:rPr>
          <w:b/>
          <w:bCs/>
        </w:rPr>
        <w:t xml:space="preserve">2035 target:</w:t>
      </w:r>
      <w:r>
        <w:t xml:space="preserve"> </w:t>
      </w:r>
      <w:r>
        <w:t xml:space="preserve">On 18 September 2025, Prime Minister Albanese announced Australia’s 2035 NDC target at</w:t>
      </w:r>
      <w:r>
        <w:t xml:space="preserve"> </w:t>
      </w:r>
      <w:r>
        <w:rPr>
          <w:b/>
          <w:bCs/>
        </w:rPr>
        <w:t xml:space="preserve">62-70% reduction</w:t>
      </w:r>
      <w:r>
        <w:t xml:space="preserve"> </w:t>
      </w:r>
      <w:r>
        <w:t xml:space="preserve">below 2005 levels - framed as a five-year emissions budget for 2031-35 rather than a single-year goal.</w:t>
      </w:r>
    </w:p>
    <w:p>
      <w:pPr>
        <w:pStyle w:val="BodyText"/>
      </w:pPr>
      <w:r>
        <w:rPr>
          <w:b/>
          <w:bCs/>
        </w:rPr>
        <w:t xml:space="preserve">Safeguard Mechanism role:</w:t>
      </w:r>
      <w:r>
        <w:t xml:space="preserve"> </w:t>
      </w:r>
      <w:r>
        <w:t xml:space="preserve">The Climate Change Authority identifies the Safeguard Mechanism as the primary policy for industry sector decarbonisation.</w:t>
      </w:r>
      <w:r>
        <w:t xml:space="preserve"> </w:t>
      </w:r>
      <w:r>
        <w:t xml:space="preserve">“Accelerating the decline rate out to 2035 for baselines set under the Safeguard Mechanism is identified by the CCA as reducing emissions from the industry and resources sectors by almost a third”</w:t>
      </w:r>
      <w:r>
        <w:t xml:space="preserve"> </w:t>
      </w:r>
      <w:r>
        <w:t xml:space="preserve">(Climate Change Authority).</w:t>
      </w:r>
    </w:p>
    <w:p>
      <w:pPr>
        <w:pStyle w:val="BodyText"/>
      </w:pPr>
      <w:r>
        <w:rPr>
          <w:b/>
          <w:bCs/>
        </w:rPr>
        <w:t xml:space="preserve">Timing alignment:</w:t>
      </w:r>
      <w:r>
        <w:t xml:space="preserve"> </w:t>
      </w:r>
      <w:r>
        <w:t xml:space="preserve">The 2026-27 Safeguard review must set decline rates for 2030-35 by July 2027. This will be the critical mechanism for translating the NDC commitment into binding facility-level requirements.</w:t>
      </w:r>
    </w:p>
    <w:p>
      <w:pPr>
        <w:pStyle w:val="BodyText"/>
      </w:pPr>
      <w:r>
        <w:rPr>
          <w:b/>
          <w:bCs/>
        </w:rPr>
        <w:t xml:space="preserve">Industry uncertainty:</w:t>
      </w:r>
      <w:r>
        <w:t xml:space="preserve"> </w:t>
      </w:r>
      <w:r>
        <w:t xml:space="preserve">Due to the target range,</w:t>
      </w:r>
      <w:r>
        <w:t xml:space="preserve"> </w:t>
      </w:r>
      <w:r>
        <w:t xml:space="preserve">“baseline reductions from 2030 onwards will be harder for industry to forecast until the Safeguard review is complete”</w:t>
      </w:r>
      <w:r>
        <w:t xml:space="preserve"> </w:t>
      </w:r>
      <w:r>
        <w:t xml:space="preserve">(CORE Markets). Facilities must plan for scenarios ranging from 4.82% to 6.85% annual decline rates.</w:t>
      </w:r>
    </w:p>
    <w:p>
      <w:pPr>
        <w:pStyle w:val="BodyText"/>
      </w:pPr>
      <w:r>
        <w:rPr>
          <w:b/>
          <w:bCs/>
        </w:rPr>
        <w:t xml:space="preserve">Other review items expected:</w:t>
      </w:r>
      <w:r>
        <w:t xml:space="preserve"> </w:t>
      </w:r>
      <w:r>
        <w:t xml:space="preserve">TEBA determinations, multi-year monitoring periods, and banking/borrowing settings (whether banked ACCUs and SMCs can be used after 2030) will all be revisited alongside the core decline rate question (CORE Markets).</w:t>
      </w:r>
    </w:p>
    <w:bookmarkEnd w:id="43"/>
    <w:bookmarkStart w:id="44" w:name="are-teba-provisions-working-effectively"/>
    <w:p>
      <w:pPr>
        <w:pStyle w:val="Heading3"/>
      </w:pPr>
      <w:r>
        <w:t xml:space="preserve">Are TEBA provisions working effectively?</w:t>
      </w:r>
    </w:p>
    <w:p>
      <w:pPr>
        <w:pStyle w:val="FirstParagraph"/>
      </w:pPr>
      <w:r>
        <w:rPr>
          <w:b/>
          <w:bCs/>
        </w:rPr>
        <w:t xml:space="preserve">TEBA purpose:</w:t>
      </w:r>
      <w:r>
        <w:t xml:space="preserve"> </w:t>
      </w:r>
      <w:r>
        <w:t xml:space="preserve">Trade-exposed baseline-adjusted facilities receive reduced decline rates to protect against</w:t>
      </w:r>
      <w:r>
        <w:t xml:space="preserve"> </w:t>
      </w:r>
      <w:r>
        <w:t xml:space="preserve">“carbon leakage”</w:t>
      </w:r>
      <w:r>
        <w:t xml:space="preserve"> </w:t>
      </w:r>
      <w:r>
        <w:t xml:space="preserve">- the risk that production and emissions simply shift to overseas competitors with weaker carbon policies.</w:t>
      </w:r>
    </w:p>
    <w:p>
      <w:pPr>
        <w:pStyle w:val="BodyText"/>
      </w:pPr>
      <w:r>
        <w:rPr>
          <w:b/>
          <w:bCs/>
        </w:rPr>
        <w:t xml:space="preserve">Eligibility and rates:</w:t>
      </w:r>
    </w:p>
    <w:p>
      <w:pPr>
        <w:pStyle w:val="BodyText"/>
      </w:pPr>
      <w:r>
        <w:rPr>
          <w:b/>
          <w:bCs/>
        </w:rPr>
        <w:t xml:space="preserve">TEBA Reduced Decline Rates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Sector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Minimum Decline Rate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Impact Trigger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Manufacturing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1.0%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cost &gt;3% of EBIT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Non-manufacturing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2.0%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cost as % of revenue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</w:t>
      </w:r>
    </w:p>
    <w:p>
      <w:pPr>
        <w:pStyle w:val="BodyText"/>
      </w:pPr>
      <w:r>
        <w:rPr>
          <w:b/>
          <w:bCs/>
        </w:rPr>
        <w:t xml:space="preserve">FY2023-24 uptake:</w:t>
      </w:r>
      <w:r>
        <w:t xml:space="preserve"> </w:t>
      </w:r>
      <w:r>
        <w:t xml:space="preserve">In the first reformed year,</w:t>
      </w:r>
      <w:r>
        <w:t xml:space="preserve"> </w:t>
      </w:r>
      <w:r>
        <w:rPr>
          <w:b/>
          <w:bCs/>
        </w:rPr>
        <w:t xml:space="preserve">17 facilities received site-specific baseline decline rates set at a heavily discounted 1%</w:t>
      </w:r>
      <w:r>
        <w:t xml:space="preserve"> </w:t>
      </w:r>
      <w:r>
        <w:t xml:space="preserve">(ICAP). This represents significant use of the concession.</w:t>
      </w:r>
    </w:p>
    <w:p>
      <w:pPr>
        <w:pStyle w:val="BodyText"/>
      </w:pPr>
      <w:r>
        <w:rPr>
          <w:b/>
          <w:bCs/>
        </w:rPr>
        <w:t xml:space="preserve">Fossil fuel sector concerns:</w:t>
      </w:r>
      <w:r>
        <w:t xml:space="preserve"> </w:t>
      </w:r>
      <w:r>
        <w:t xml:space="preserve">As noted earlier, fossil fuel companies earn a disproportionate share of SMCs relative to their emissions, and that TEBA is available to trade-exposed LNG facilities, questions arise about whether the provisions are calibrated appropriately or are enabling continued high emissions from the resources sector.</w:t>
      </w:r>
    </w:p>
    <w:p>
      <w:pPr>
        <w:pStyle w:val="BodyText"/>
      </w:pPr>
      <w:r>
        <w:rPr>
          <w:b/>
          <w:bCs/>
        </w:rPr>
        <w:t xml:space="preserve">Review considerations:</w:t>
      </w:r>
      <w:r>
        <w:t xml:space="preserve"> </w:t>
      </w:r>
      <w:r>
        <w:t xml:space="preserve">The 2026-27 review will examine</w:t>
      </w:r>
      <w:r>
        <w:t xml:space="preserve"> </w:t>
      </w:r>
      <w:r>
        <w:t xml:space="preserve">“the extent to which Safeguard facilities are undertaking decarbonisation activities, accessing excess emissions management options such as TEBA status and multi-year monitoring periods, and the costs and availability of carbon credits”</w:t>
      </w:r>
      <w:r>
        <w:t xml:space="preserve">.</w:t>
      </w:r>
    </w:p>
    <w:p>
      <w:pPr>
        <w:pStyle w:val="BodyText"/>
      </w:pPr>
      <w:r>
        <w:rPr>
          <w:b/>
          <w:bCs/>
        </w:rPr>
        <w:t xml:space="preserve">Tension with 2035 targets:</w:t>
      </w:r>
      <w:r>
        <w:t xml:space="preserve"> </w:t>
      </w:r>
      <w:r>
        <w:t xml:space="preserve">If substantial numbers of facilities receive TEBA status with 1-2% decline rates while the sector average needs to be 4.82-6.85% to meet NDC targets, the burden falls disproportionately on non-TEBA facilities or must be made up through offsets.</w:t>
      </w:r>
    </w:p>
    <w:bookmarkEnd w:id="44"/>
    <w:bookmarkEnd w:id="45"/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Safeguard Mechanism</dc:title>
  <dc:creator>David Leitch</dc:creator>
  <cp:keywords/>
  <dcterms:created xsi:type="dcterms:W3CDTF">2026-01-19T12:36:02Z</dcterms:created>
  <dcterms:modified xsi:type="dcterms:W3CDTF">2026-01-19T12:36:02Z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2026-01-19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../media/image-20260119183822680.png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